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2733675</wp:posOffset>
            </wp:positionH>
            <wp:positionV relativeFrom="paragraph">
              <wp:posOffset>36830</wp:posOffset>
            </wp:positionV>
            <wp:extent cx="1047750" cy="160782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Default"/>
        <w:spacing w:lineRule="auto" w:line="360"/>
        <w:jc w:val="center"/>
        <w:rPr>
          <w:rFonts w:ascii="Cambria" w:hAnsi="Cambria" w:eastAsia="" w:cs="" w:asciiTheme="majorHAnsi" w:cstheme="majorBidi" w:eastAsiaTheme="majorEastAsia" w:hAnsiTheme="majorHAnsi"/>
          <w:b/>
          <w:b/>
          <w:color w:val="365F91" w:themeColor="accent1" w:themeShade="bf"/>
          <w:sz w:val="32"/>
          <w:szCs w:val="32"/>
          <w:lang w:eastAsia="it-IT"/>
        </w:rPr>
      </w:pPr>
      <w:r>
        <w:rPr>
          <w:rFonts w:eastAsia="" w:cs="" w:cstheme="majorBidi" w:eastAsiaTheme="majorEastAsia"/>
          <w:b/>
          <w:color w:val="365F91" w:themeColor="accent1" w:themeShade="bf"/>
          <w:sz w:val="32"/>
          <w:szCs w:val="32"/>
          <w:lang w:eastAsia="it-IT"/>
        </w:rPr>
      </w:r>
    </w:p>
    <w:p>
      <w:pPr>
        <w:pStyle w:val="Default"/>
        <w:spacing w:lineRule="auto" w:line="360"/>
        <w:jc w:val="center"/>
        <w:rPr>
          <w:rFonts w:ascii="Cambria" w:hAnsi="Cambria" w:eastAsia="" w:cs="" w:asciiTheme="majorHAnsi" w:cstheme="majorBidi" w:eastAsiaTheme="majorEastAsia" w:hAnsiTheme="majorHAnsi"/>
          <w:b/>
          <w:b/>
          <w:color w:val="365F91" w:themeColor="accent1" w:themeShade="bf"/>
          <w:sz w:val="52"/>
          <w:szCs w:val="52"/>
          <w:lang w:eastAsia="it-IT"/>
        </w:rPr>
      </w:pPr>
      <w:r>
        <w:rPr>
          <w:rFonts w:eastAsia="" w:cs="" w:cstheme="majorBidi" w:eastAsiaTheme="majorEastAsia"/>
          <w:b/>
          <w:color w:val="365F91" w:themeColor="accent1" w:themeShade="bf"/>
          <w:sz w:val="52"/>
          <w:szCs w:val="52"/>
          <w:lang w:eastAsia="it-IT"/>
        </w:rPr>
      </w:r>
    </w:p>
    <w:p>
      <w:pPr>
        <w:pStyle w:val="Default"/>
        <w:spacing w:lineRule="auto" w:line="360"/>
        <w:jc w:val="center"/>
        <w:rPr>
          <w:rFonts w:ascii="Cambria" w:hAnsi="Cambria" w:eastAsia="" w:cs="" w:asciiTheme="majorHAnsi" w:cstheme="majorBidi" w:eastAsiaTheme="majorEastAsia" w:hAnsiTheme="majorHAnsi"/>
          <w:b/>
          <w:b/>
          <w:color w:val="365F91" w:themeColor="accent1" w:themeShade="bf"/>
          <w:sz w:val="52"/>
          <w:szCs w:val="52"/>
          <w:lang w:eastAsia="it-IT"/>
        </w:rPr>
      </w:pPr>
      <w:r>
        <w:rPr>
          <w:rFonts w:eastAsia="" w:cs="" w:cstheme="majorBidi" w:eastAsiaTheme="majorEastAsia"/>
          <w:b/>
          <w:color w:val="365F91" w:themeColor="accent1" w:themeShade="bf"/>
          <w:sz w:val="52"/>
          <w:szCs w:val="52"/>
          <w:lang w:eastAsia="it-IT"/>
        </w:rPr>
      </w:r>
    </w:p>
    <w:p>
      <w:pPr>
        <w:pStyle w:val="Default"/>
        <w:spacing w:lineRule="auto" w:line="360"/>
        <w:jc w:val="center"/>
        <w:rPr>
          <w:rFonts w:ascii="Cambria" w:hAnsi="Cambria" w:eastAsia="" w:cs="" w:asciiTheme="majorHAnsi" w:cstheme="majorBidi" w:eastAsiaTheme="majorEastAsia" w:hAnsiTheme="majorHAnsi"/>
          <w:b/>
          <w:b/>
          <w:color w:val="365F91" w:themeColor="accent1" w:themeShade="bf"/>
          <w:sz w:val="52"/>
          <w:szCs w:val="52"/>
          <w:lang w:eastAsia="it-IT"/>
        </w:rPr>
      </w:pPr>
      <w:r>
        <w:rPr>
          <w:rFonts w:eastAsia="" w:cs="" w:cstheme="majorBidi" w:eastAsiaTheme="majorEastAsia"/>
          <w:b/>
          <w:color w:val="365F91" w:themeColor="accent1" w:themeShade="bf"/>
          <w:sz w:val="52"/>
          <w:szCs w:val="52"/>
          <w:lang w:eastAsia="it-IT"/>
        </w:rPr>
      </w:r>
    </w:p>
    <w:p>
      <w:pPr>
        <w:pStyle w:val="Default"/>
        <w:spacing w:lineRule="auto" w:line="360"/>
        <w:jc w:val="center"/>
        <w:rPr>
          <w:rFonts w:ascii="Cambria" w:hAnsi="Cambria" w:eastAsia="" w:cs="" w:asciiTheme="majorHAnsi" w:cstheme="majorBidi" w:eastAsiaTheme="majorEastAsia" w:hAnsiTheme="majorHAnsi"/>
          <w:b/>
          <w:b/>
          <w:color w:val="365F91" w:themeColor="accent1" w:themeShade="bf"/>
          <w:sz w:val="52"/>
          <w:szCs w:val="52"/>
          <w:lang w:eastAsia="it-IT"/>
        </w:rPr>
      </w:pPr>
      <w:r>
        <w:rPr>
          <w:rFonts w:eastAsia="" w:cs="" w:cstheme="majorBidi" w:eastAsiaTheme="majorEastAsia"/>
          <w:b/>
          <w:color w:val="365F91" w:themeColor="accent1" w:themeShade="bf"/>
          <w:sz w:val="52"/>
          <w:szCs w:val="52"/>
          <w:lang w:eastAsia="it-IT"/>
        </w:rPr>
      </w:r>
    </w:p>
    <w:p>
      <w:pPr>
        <w:pStyle w:val="Default"/>
        <w:spacing w:lineRule="auto" w:line="360"/>
        <w:jc w:val="center"/>
        <w:rPr>
          <w:rFonts w:ascii="Calibri Light" w:hAnsi="Calibri Light" w:eastAsia="" w:cs="" w:cstheme="majorBidi" w:eastAsiaTheme="majorEastAsia"/>
          <w:b/>
          <w:b/>
          <w:color w:val="365F91" w:themeColor="accent1" w:themeShade="bf"/>
          <w:sz w:val="52"/>
          <w:szCs w:val="52"/>
          <w:lang w:eastAsia="it-IT"/>
        </w:rPr>
      </w:pPr>
      <w:r>
        <w:rPr>
          <w:rFonts w:eastAsia="" w:cs="" w:ascii="Calibri Light" w:hAnsi="Calibri Light" w:cstheme="majorBidi" w:eastAsiaTheme="majorEastAsia"/>
          <w:b/>
          <w:color w:val="365F91" w:themeColor="accent1" w:themeShade="bf"/>
          <w:sz w:val="52"/>
          <w:szCs w:val="52"/>
          <w:lang w:eastAsia="it-IT"/>
        </w:rPr>
        <w:t>Documento di autovalutazione</w:t>
      </w:r>
    </w:p>
    <w:p>
      <w:pPr>
        <w:pStyle w:val="Default"/>
        <w:spacing w:lineRule="auto" w:line="360"/>
        <w:jc w:val="center"/>
        <w:rPr>
          <w:rFonts w:ascii="Calibri Light" w:hAnsi="Calibri Light" w:eastAsia="" w:cs="" w:cstheme="majorBidi" w:eastAsiaTheme="majorEastAsia"/>
          <w:b/>
          <w:b/>
          <w:color w:val="365F91" w:themeColor="accent1" w:themeShade="bf"/>
          <w:sz w:val="52"/>
          <w:szCs w:val="52"/>
          <w:lang w:eastAsia="it-IT"/>
        </w:rPr>
      </w:pPr>
      <w:r>
        <w:rPr>
          <w:rFonts w:eastAsia="" w:cs="" w:ascii="Calibri Light" w:hAnsi="Calibri Light" w:cstheme="majorBidi" w:eastAsiaTheme="majorEastAsia"/>
          <w:b/>
          <w:color w:val="365F91" w:themeColor="accent1" w:themeShade="bf"/>
          <w:sz w:val="52"/>
          <w:szCs w:val="52"/>
          <w:lang w:eastAsia="it-IT"/>
        </w:rPr>
        <w:t>dell’Osservatorio Turistico di Destinazione</w:t>
      </w:r>
    </w:p>
    <w:p>
      <w:pPr>
        <w:pStyle w:val="Normal"/>
        <w:spacing w:lineRule="auto" w:line="360" w:before="0" w:after="160"/>
        <w:jc w:val="center"/>
        <w:rPr>
          <w:rFonts w:ascii="Calibri Light" w:hAnsi="Calibri Light" w:eastAsia="" w:cs="" w:cstheme="majorBidi" w:eastAsiaTheme="majorEastAsia"/>
          <w:b/>
          <w:b/>
          <w:color w:val="365F91" w:themeColor="accent1" w:themeShade="bf"/>
          <w:sz w:val="52"/>
          <w:szCs w:val="52"/>
          <w:lang w:eastAsia="it-IT"/>
        </w:rPr>
      </w:pPr>
      <w:r>
        <w:rPr>
          <w:rFonts w:eastAsia="" w:cs="" w:ascii="Calibri Light" w:hAnsi="Calibri Light" w:cstheme="majorBidi" w:eastAsiaTheme="majorEastAsia"/>
          <w:b/>
          <w:color w:val="365F91" w:themeColor="accent1" w:themeShade="bf"/>
          <w:sz w:val="52"/>
          <w:szCs w:val="52"/>
          <w:lang w:eastAsia="it-IT"/>
        </w:rPr>
        <w:t>del Comune di Castagneto Carducci</w:t>
      </w:r>
    </w:p>
    <w:p>
      <w:pPr>
        <w:pStyle w:val="Normal"/>
        <w:spacing w:lineRule="auto" w:line="360" w:before="0" w:after="160"/>
        <w:jc w:val="center"/>
        <w:rPr>
          <w:rFonts w:ascii="Cambria" w:hAnsi="Cambria" w:eastAsia="" w:cs="" w:asciiTheme="majorHAnsi" w:cstheme="majorBidi" w:eastAsiaTheme="majorEastAsia" w:hAnsiTheme="majorHAnsi"/>
          <w:b/>
          <w:b/>
          <w:color w:val="365F91" w:themeColor="accent1" w:themeShade="bf"/>
          <w:sz w:val="52"/>
          <w:szCs w:val="52"/>
          <w:lang w:eastAsia="it-IT"/>
        </w:rPr>
      </w:pPr>
      <w:r>
        <w:rPr>
          <w:rFonts w:eastAsia="" w:cs="" w:cstheme="majorBidi" w:eastAsiaTheme="majorEastAsia" w:ascii="Cambria" w:hAnsi="Cambria"/>
          <w:b/>
          <w:color w:val="365F91" w:themeColor="accent1" w:themeShade="bf"/>
          <w:sz w:val="52"/>
          <w:szCs w:val="52"/>
          <w:lang w:eastAsia="it-IT"/>
        </w:rPr>
      </w:r>
    </w:p>
    <w:p>
      <w:pPr>
        <w:pStyle w:val="Normal"/>
        <w:spacing w:lineRule="auto" w:line="360" w:before="0" w:after="160"/>
        <w:jc w:val="center"/>
        <w:rPr>
          <w:rFonts w:ascii="Cambria" w:hAnsi="Cambria" w:eastAsia="" w:cs="" w:asciiTheme="majorHAnsi" w:cstheme="majorBidi" w:eastAsiaTheme="majorEastAsia" w:hAnsiTheme="majorHAnsi"/>
          <w:b/>
          <w:b/>
          <w:color w:val="365F91" w:themeColor="accent1" w:themeShade="bf"/>
          <w:sz w:val="52"/>
          <w:szCs w:val="52"/>
          <w:lang w:eastAsia="it-IT"/>
        </w:rPr>
      </w:pPr>
      <w:r>
        <w:rPr>
          <w:rFonts w:eastAsia="" w:cs="" w:cstheme="majorBidi" w:eastAsiaTheme="majorEastAsia" w:ascii="Cambria" w:hAnsi="Cambria"/>
          <w:b/>
          <w:color w:val="365F91" w:themeColor="accent1" w:themeShade="bf"/>
          <w:sz w:val="52"/>
          <w:szCs w:val="52"/>
          <w:lang w:eastAsia="it-IT"/>
        </w:rPr>
      </w:r>
    </w:p>
    <w:p>
      <w:pPr>
        <w:pStyle w:val="Normal"/>
        <w:spacing w:lineRule="auto" w:line="360" w:before="0" w:after="160"/>
        <w:jc w:val="center"/>
        <w:rPr>
          <w:rFonts w:ascii="Calibri Light" w:hAnsi="Calibri Light" w:eastAsia="" w:cs="" w:cstheme="majorBidi" w:eastAsiaTheme="majorEastAsia"/>
          <w:b/>
          <w:b/>
          <w:color w:val="365F91" w:themeColor="accent1" w:themeShade="bf"/>
          <w:sz w:val="32"/>
          <w:szCs w:val="32"/>
          <w:lang w:eastAsia="it-IT"/>
        </w:rPr>
      </w:pPr>
      <w:r>
        <w:rPr>
          <w:rFonts w:eastAsia="" w:cs="" w:ascii="Calibri Light" w:hAnsi="Calibri Light" w:cstheme="majorBidi" w:eastAsiaTheme="majorEastAsia"/>
          <w:b/>
          <w:color w:val="365F91" w:themeColor="accent1" w:themeShade="bf"/>
          <w:sz w:val="32"/>
          <w:szCs w:val="32"/>
          <w:lang w:eastAsia="it-IT"/>
        </w:rPr>
        <w:t>Bozza del 21.10.2016</w:t>
      </w:r>
    </w:p>
    <w:p>
      <w:pPr>
        <w:pStyle w:val="Normal"/>
        <w:spacing w:lineRule="auto" w:line="360" w:before="0" w:after="160"/>
        <w:jc w:val="center"/>
        <w:rPr>
          <w:rFonts w:ascii="Cambria" w:hAnsi="Cambria" w:eastAsia="" w:cs="" w:asciiTheme="majorHAnsi" w:cstheme="majorBidi" w:eastAsiaTheme="majorEastAsia" w:hAnsiTheme="majorHAnsi"/>
          <w:b/>
          <w:b/>
          <w:color w:val="365F91" w:themeColor="accent1" w:themeShade="bf"/>
          <w:sz w:val="32"/>
          <w:szCs w:val="32"/>
          <w:lang w:eastAsia="it-IT"/>
        </w:rPr>
      </w:pPr>
      <w:r>
        <w:rPr>
          <w:rFonts w:eastAsia="" w:cs="" w:cstheme="majorBidi" w:eastAsiaTheme="majorEastAsia" w:ascii="Cambria" w:hAnsi="Cambria"/>
          <w:b/>
          <w:color w:val="365F91" w:themeColor="accent1" w:themeShade="bf"/>
          <w:sz w:val="32"/>
          <w:szCs w:val="32"/>
          <w:lang w:eastAsia="it-IT"/>
        </w:rPr>
      </w:r>
    </w:p>
    <w:p>
      <w:pPr>
        <w:pStyle w:val="Normal"/>
        <w:spacing w:lineRule="auto" w:line="360" w:before="0" w:after="160"/>
        <w:jc w:val="center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spacing w:lineRule="auto" w:line="259" w:before="0" w:after="160"/>
        <w:rPr/>
      </w:pPr>
      <w:r>
        <w:rPr/>
      </w:r>
      <w:r>
        <w:br w:type="page"/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2182"/>
        <w:gridCol w:w="3728"/>
        <w:gridCol w:w="3728"/>
      </w:tblGrid>
      <w:tr>
        <w:trPr>
          <w:trHeight w:val="780" w:hRule="atLeast"/>
        </w:trPr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Paragrafoelenco1"/>
              <w:pageBreakBefore/>
              <w:tabs>
                <w:tab w:val="left" w:pos="0" w:leader="underscore"/>
              </w:tabs>
              <w:spacing w:lineRule="exact" w:line="320" w:before="240" w:after="240"/>
              <w:ind w:left="0" w:right="0" w:hanging="0"/>
              <w:jc w:val="center"/>
              <w:rPr>
                <w:rFonts w:ascii="Cambria" w:hAnsi="Cambria" w:eastAsia="" w:cs="" w:asciiTheme="majorHAnsi" w:cstheme="majorBidi" w:eastAsiaTheme="majorEastAsia" w:hAnsiTheme="majorHAnsi"/>
                <w:bCs w:val="false"/>
                <w:color w:val="365F91" w:themeColor="accent1" w:themeShade="bf"/>
                <w:sz w:val="26"/>
                <w:szCs w:val="26"/>
                <w:lang w:val="it-IT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Cs w:val="false"/>
                <w:color w:val="365F91" w:themeColor="accent1" w:themeShade="bf"/>
                <w:sz w:val="26"/>
                <w:szCs w:val="26"/>
                <w:lang w:val="it-IT"/>
              </w:rPr>
              <w:t>AREE TEMATICHE NECSTOUR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Paragrafoelenco1"/>
              <w:tabs>
                <w:tab w:val="left" w:pos="0" w:leader="underscore"/>
              </w:tabs>
              <w:spacing w:lineRule="exact" w:line="320" w:before="240" w:after="240"/>
              <w:ind w:left="0" w:right="0" w:hanging="0"/>
              <w:jc w:val="center"/>
              <w:rPr>
                <w:rFonts w:ascii="Cambria" w:hAnsi="Cambria" w:eastAsia="" w:cs="" w:asciiTheme="majorHAnsi" w:cstheme="majorBidi" w:eastAsiaTheme="majorEastAsia" w:hAnsiTheme="majorHAnsi"/>
                <w:bCs w:val="false"/>
                <w:color w:val="365F91" w:themeColor="accent1" w:themeShade="bf"/>
                <w:sz w:val="26"/>
                <w:szCs w:val="26"/>
                <w:lang w:val="it-IT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Cs w:val="false"/>
                <w:color w:val="365F91" w:themeColor="accent1" w:themeShade="bf"/>
                <w:sz w:val="26"/>
                <w:szCs w:val="26"/>
                <w:lang w:val="it-IT"/>
              </w:rPr>
              <w:t>DOMANDE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Paragrafoelenco1"/>
              <w:tabs>
                <w:tab w:val="left" w:pos="0" w:leader="underscore"/>
              </w:tabs>
              <w:spacing w:lineRule="exact" w:line="320" w:before="240" w:after="240"/>
              <w:ind w:left="0" w:right="0" w:hanging="0"/>
              <w:jc w:val="center"/>
              <w:rPr>
                <w:rFonts w:ascii="Cambria" w:hAnsi="Cambria" w:eastAsia="" w:cs="" w:asciiTheme="majorHAnsi" w:cstheme="majorBidi" w:eastAsiaTheme="majorEastAsia" w:hAnsiTheme="majorHAnsi"/>
                <w:bCs w:val="false"/>
                <w:color w:val="365F91" w:themeColor="accent1" w:themeShade="bf"/>
                <w:sz w:val="26"/>
                <w:szCs w:val="26"/>
                <w:lang w:val="it-IT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Cs w:val="false"/>
                <w:color w:val="365F91" w:themeColor="accent1" w:themeShade="bf"/>
                <w:sz w:val="26"/>
                <w:szCs w:val="26"/>
                <w:lang w:val="it-IT"/>
              </w:rPr>
              <w:t>AUTOVALUTAZIONE</w:t>
            </w:r>
          </w:p>
        </w:tc>
      </w:tr>
      <w:tr>
        <w:trPr/>
        <w:tc>
          <w:tcPr>
            <w:tcW w:w="2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240" w:after="240"/>
              <w:rPr>
                <w:b/>
                <w:b/>
              </w:rPr>
            </w:pPr>
            <w:r>
              <w:rPr>
                <w:b/>
              </w:rPr>
              <w:t>Impatto dei trasporti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Esistono criticità rispetto alla viabilità e servizi di trasporto per l’accessibilità della destinazione rispetto alle infrastrutture di rilevanza nazionale e internazionale (autostrada, strada di grande comunicazione, linea ferroviaria di Alta velocità, aeroporto di rilevanza nazionale/internazionale, porto di rilevanza nazionale/internazionale)?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iCs/>
                <w:color w:val="00B050"/>
              </w:rPr>
            </w:pPr>
            <w:r>
              <w:rPr>
                <w:b/>
                <w:i/>
                <w:iCs/>
                <w:color w:val="00B050"/>
              </w:rPr>
              <w:t>No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  <w:iCs/>
              </w:rPr>
              <w:t xml:space="preserve">Complessivamente la destinazione è ben servita dalla rete autostradale, dagli aeroporti di Pisa e Firenze e dai porti di Livorno e Piombino.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  <w:iCs/>
              </w:rPr>
              <w:t>C’’è necessità di intensificare i collegamenti ferroviari con Livorno e Grosseto, oltre che intensificare il raccordo con i due aeroporti toscani.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Paragrafoelenco1"/>
              <w:tabs>
                <w:tab w:val="left" w:pos="0" w:leader="underscore"/>
              </w:tabs>
              <w:spacing w:lineRule="exact" w:line="320"/>
              <w:ind w:left="0" w:right="0" w:hanging="0"/>
              <w:rPr>
                <w:rFonts w:ascii="Calibri" w:hAnsi="Calibri" w:cs="Arial"/>
                <w:b/>
                <w:b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Cs w:val="22"/>
                <w:lang w:val="it-IT"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Esistono criticità rispetto alla viabilità e ai servizi di trasporto per l’accessibilità interna alle zone turistico-ricettive (dove si concentra la presenza dei posti letto negli alberghi, nelle case e appartamenti per vacanza, affittacamere/residenze d’epoca, campeggi, agriturismi)?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iCs/>
                <w:color w:val="00B050"/>
              </w:rPr>
            </w:pPr>
            <w:r>
              <w:rPr>
                <w:b/>
                <w:i/>
                <w:iCs/>
                <w:color w:val="00B050"/>
              </w:rPr>
              <w:t>No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iCs/>
                <w:shd w:fill="FFFF00" w:val="clear"/>
              </w:rPr>
            </w:pPr>
            <w:r>
              <w:rPr>
                <w:i/>
                <w:iCs/>
              </w:rPr>
              <w:t>Non ci sono criticità per ciò che riguarda l’accessibilità alle zone alberghiere. In particolare, durante il periodo estivo si aggiungono al servizio di trasporto pubblico ordinario i servizi estivi costituiti dal trenino, servizio “in borgo in bus” e del servizio taxi a chiamata dalla stazione a Bolgheri.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Paragrafoelenco1"/>
              <w:tabs>
                <w:tab w:val="left" w:pos="0" w:leader="underscore"/>
              </w:tabs>
              <w:spacing w:lineRule="exact" w:line="320"/>
              <w:ind w:left="0" w:right="0" w:hanging="0"/>
              <w:rPr>
                <w:rFonts w:ascii="Calibri" w:hAnsi="Calibri" w:cs="Arial"/>
                <w:b/>
                <w:b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Cs w:val="22"/>
                <w:lang w:val="it-IT"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Esistono criticità rispetto alla viabilità e servizi di trasporto per l’accessibilità alle zone dove si trovano le attrazioni turistiche (spiagge, centri storici, monumenti e aree archeologiche, stabilimenti termali, itinerari escursionistici a piedi, in bici, a cavallo; piste e impianti da sci, impianti sportivi, impianti fieristici espositivi e congressuali)?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iCs/>
                <w:color w:val="00B050"/>
              </w:rPr>
            </w:pPr>
            <w:r>
              <w:rPr>
                <w:b/>
                <w:i/>
                <w:iCs/>
                <w:color w:val="00B050"/>
              </w:rPr>
              <w:t>No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iCs/>
                <w:shd w:fill="FFFF00" w:val="clear"/>
              </w:rPr>
            </w:pPr>
            <w:r>
              <w:rPr>
                <w:i/>
                <w:iCs/>
              </w:rPr>
              <w:t xml:space="preserve">Non per raggiungere Marina e le frazioni, ma piuttosto carenti per le spiagge verso San Vincenzo e Bibbona fuori dalla frazione. 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Paragrafoelenco1"/>
              <w:tabs>
                <w:tab w:val="left" w:pos="0" w:leader="underscore"/>
              </w:tabs>
              <w:spacing w:lineRule="exact" w:line="320"/>
              <w:ind w:left="0" w:right="0" w:hanging="0"/>
              <w:rPr>
                <w:rFonts w:ascii="Calibri" w:hAnsi="Calibri" w:cs="Arial"/>
                <w:b/>
                <w:b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Cs w:val="22"/>
                <w:lang w:val="it-IT"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Esistono parcheggi scambiatori e servizi di collegamento che consentano di limitare l’accesso delle auto alle zone turistico-ricettive e alle zone dove si trovano le attrattività turistiche?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06" w:beforeAutospacing="0" w:before="0" w:afterAutospacing="0" w:after="0"/>
              <w:textAlignment w:val="baseline"/>
              <w:rPr>
                <w:rFonts w:ascii="Calibri" w:hAnsi="Calibri" w:eastAsia="Calibri"/>
                <w:b/>
                <w:b/>
                <w:i/>
                <w:i/>
                <w:iCs/>
                <w:color w:val="C00000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i/>
                <w:iCs/>
                <w:color w:val="C00000"/>
                <w:sz w:val="22"/>
                <w:szCs w:val="22"/>
                <w:lang w:eastAsia="en-US"/>
              </w:rPr>
              <w:t>No</w:t>
            </w:r>
          </w:p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06" w:beforeAutospacing="0" w:before="0" w:afterAutospacing="0" w:after="0"/>
              <w:textAlignment w:val="baseline"/>
              <w:rPr>
                <w:rFonts w:ascii="Calibri" w:hAnsi="Calibri" w:eastAsia="Calibri"/>
                <w:i/>
                <w:i/>
                <w:iCs/>
                <w:color w:val="C00000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>Anche se il trenino prevede delle fermate anche su punti di parcheggio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Paragrafoelenco1"/>
              <w:tabs>
                <w:tab w:val="left" w:pos="0" w:leader="underscore"/>
              </w:tabs>
              <w:spacing w:lineRule="exact" w:line="320"/>
              <w:ind w:left="0" w:right="0" w:hanging="0"/>
              <w:rPr>
                <w:rFonts w:ascii="Calibri" w:hAnsi="Calibri" w:cs="Arial"/>
                <w:b/>
                <w:b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Cs w:val="22"/>
                <w:lang w:val="it-IT"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 xml:space="preserve">Esiste una offerta ottimale di piste ciclabili e servizi di noleggio bici che consentano il collegamento e l’accessibilità tra le zone turistico-ricettive e le zone dove si trovano le attrattività turistiche? 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06" w:beforeAutospacing="0" w:before="0" w:afterAutospacing="0" w:after="0"/>
              <w:textAlignment w:val="baseline"/>
              <w:rPr>
                <w:rFonts w:ascii="Calibri" w:hAnsi="Calibri" w:eastAsia="Calibri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i/>
                <w:iCs/>
                <w:color w:val="C00000"/>
                <w:sz w:val="22"/>
                <w:szCs w:val="22"/>
                <w:lang w:eastAsia="en-US"/>
              </w:rPr>
              <w:t>No</w:t>
            </w: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06" w:beforeAutospacing="0" w:before="0" w:afterAutospacing="0" w:after="0"/>
              <w:textAlignment w:val="baseline"/>
              <w:rPr>
                <w:rFonts w:ascii="Calibri" w:hAnsi="Calibri" w:eastAsia="Calibri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>Esiste una rete di piste ciclabili che collega Donoratico con Marina di Castagneto. Tuttavia sarebbe necessario un ampiamento della stessa anche alle altre frazioni.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Paragrafoelenco1"/>
              <w:tabs>
                <w:tab w:val="left" w:pos="0" w:leader="underscore"/>
              </w:tabs>
              <w:spacing w:lineRule="exact" w:line="320"/>
              <w:ind w:left="0" w:right="0" w:hanging="0"/>
              <w:rPr>
                <w:rFonts w:ascii="Calibri" w:hAnsi="Calibri" w:cs="Arial"/>
                <w:b/>
                <w:b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Cs w:val="22"/>
                <w:lang w:val="it-IT"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 xml:space="preserve">Esiste una offerta ottimale di itinerari urbani ed extraurbani escursionistici (da percorrere a piedi, in bici, a cavallo) e servizi collegati per fruire del patrimonio ambientale, naturalistico e storico? 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06" w:beforeAutospacing="0" w:before="0" w:afterAutospacing="0" w:after="0"/>
              <w:textAlignment w:val="baseline"/>
              <w:rPr>
                <w:rFonts w:ascii="Calibri" w:hAnsi="Calibri" w:eastAsia="Calibri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i/>
                <w:iCs/>
                <w:color w:val="C00000"/>
                <w:sz w:val="22"/>
                <w:szCs w:val="22"/>
                <w:lang w:eastAsia="en-US"/>
              </w:rPr>
              <w:t>No</w:t>
            </w: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eastAsia="Calibri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>Esistono diversi itinerari escursionistici che tuttavia non presentano un’offerta ottimale di servizi collegati.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Paragrafoelenco1"/>
              <w:tabs>
                <w:tab w:val="left" w:pos="0" w:leader="underscore"/>
              </w:tabs>
              <w:spacing w:lineRule="exact" w:line="320"/>
              <w:ind w:left="0" w:right="0" w:hanging="0"/>
              <w:rPr>
                <w:rFonts w:ascii="Calibri" w:hAnsi="Calibri" w:cs="Arial"/>
                <w:b/>
                <w:b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Cs w:val="22"/>
                <w:lang w:val="it-IT"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Esiste una rete adeguata di punti per l’erogazione di metano, GPL e elettricità per la mobilità?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eastAsia="Calibri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> </w:t>
            </w:r>
            <w:r>
              <w:rPr>
                <w:rFonts w:eastAsia="Calibri" w:ascii="Calibri" w:hAnsi="Calibri"/>
                <w:b/>
                <w:i/>
                <w:iCs/>
                <w:color w:val="C00000"/>
                <w:sz w:val="22"/>
                <w:szCs w:val="22"/>
                <w:lang w:eastAsia="en-US"/>
              </w:rPr>
              <w:t>No</w:t>
            </w:r>
          </w:p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eastAsia="Calibri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>Mancano, in particolare, colonnine per la fornitura di energia elettrica per bici e autovetture.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Paragrafoelenco1"/>
              <w:tabs>
                <w:tab w:val="left" w:pos="0" w:leader="underscore"/>
              </w:tabs>
              <w:spacing w:lineRule="exact" w:line="320"/>
              <w:ind w:left="0" w:right="0" w:hanging="0"/>
              <w:rPr>
                <w:rFonts w:ascii="Calibri" w:hAnsi="Calibri" w:cs="Arial"/>
                <w:b/>
                <w:b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Cs w:val="22"/>
                <w:lang w:val="it-IT"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Esistono delle iniziative per promuovere forme di mobilità sostenibile?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eastAsia="Calibri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i/>
                <w:iCs/>
                <w:color w:val="C00000"/>
                <w:sz w:val="22"/>
                <w:szCs w:val="22"/>
                <w:lang w:eastAsia="en-US"/>
              </w:rPr>
              <w:t>No</w:t>
            </w: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eastAsia="Calibri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i/>
                <w:iCs/>
                <w:sz w:val="22"/>
                <w:szCs w:val="22"/>
                <w:lang w:eastAsia="en-US"/>
              </w:rPr>
              <w:t>La promozione è tuttavia sporadica e limitata.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Paragrafoelenco1"/>
              <w:tabs>
                <w:tab w:val="left" w:pos="0" w:leader="underscore"/>
              </w:tabs>
              <w:spacing w:lineRule="exact" w:line="320"/>
              <w:ind w:left="0" w:right="0" w:hanging="0"/>
              <w:rPr>
                <w:rFonts w:ascii="Calibri" w:hAnsi="Calibri" w:cs="Arial"/>
                <w:b/>
                <w:b/>
                <w:szCs w:val="22"/>
                <w:lang w:val="it-IT"/>
              </w:rPr>
            </w:pPr>
            <w:r>
              <w:rPr>
                <w:rFonts w:cs="Arial" w:ascii="Calibri" w:hAnsi="Calibri"/>
                <w:b/>
                <w:szCs w:val="22"/>
                <w:lang w:val="it-IT"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Esiste una offerta di mezzi di trasporto pubblici ecologici?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eastAsia="Calibri"/>
                <w:i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i/>
                <w:iCs/>
                <w:color w:val="C00000"/>
                <w:sz w:val="22"/>
                <w:szCs w:val="22"/>
                <w:lang w:eastAsia="en-US"/>
              </w:rPr>
              <w:t>No</w:t>
            </w:r>
          </w:p>
        </w:tc>
      </w:tr>
      <w:tr>
        <w:trPr/>
        <w:tc>
          <w:tcPr>
            <w:tcW w:w="2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Qualità della vita dei residenti in rapporto alla popolazione turistica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Esiste una strategia / piano di azione di turismo sostenibile nella destinazione con un monitoraggio e valutazione condivisa?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iCs/>
                <w:color w:val="00B050"/>
              </w:rPr>
            </w:pPr>
            <w:r>
              <w:rPr>
                <w:b/>
                <w:i/>
                <w:iCs/>
                <w:color w:val="00B050"/>
              </w:rPr>
              <w:t>Sì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  <w:iCs/>
              </w:rPr>
              <w:t>Individuabile nel programma di governo comunale, nel programma di certificazione Bandiera Blu, nel programma relativo al marchio Spiga verde e nella certificazione ambientale secondo la norma ISO 14001.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E’ previsto un coinvolgimento dei residenti nella pianificazione e nello sviluppo del turismo?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i/>
                <w:iCs/>
                <w:color w:val="C00000"/>
              </w:rPr>
              <w:t>No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Esiste nella destinazione un organismo che si occupa del marketing della stessa?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i/>
                <w:i/>
                <w:iCs/>
              </w:rPr>
            </w:pPr>
            <w:r>
              <w:rPr>
                <w:b/>
                <w:i/>
                <w:iCs/>
                <w:color w:val="C00000"/>
              </w:rPr>
              <w:t>No</w:t>
            </w:r>
            <w:r>
              <w:rPr>
                <w:i/>
                <w:iCs/>
              </w:rPr>
              <w:t xml:space="preserve"> </w:t>
            </w:r>
          </w:p>
          <w:p>
            <w:pPr>
              <w:pStyle w:val="Normal"/>
              <w:spacing w:before="0" w:after="0"/>
              <w:rPr/>
            </w:pPr>
            <w:r>
              <w:rPr>
                <w:i/>
                <w:iCs/>
              </w:rPr>
              <w:t>Le azioni di marketing anche se non in modo perfettamente organizzato nel territorio vengono realizzate dall’</w:t>
            </w:r>
            <w:r>
              <w:rPr>
                <w:i/>
              </w:rPr>
              <w:t xml:space="preserve"> Ufficio Promozione del Territorio e Comunicazione (URP) e dall’</w:t>
            </w:r>
            <w:r>
              <w:rPr>
                <w:i/>
                <w:iCs/>
              </w:rPr>
              <w:t>Ufficio Turismo comunale, in collaborazione con la Pro Loco ed i Comitati turistici.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Gli strumenti di programmazione delle attività turistiche hanno individuato un obiettivo di presenze massime previste in rapporto alla popolazione residente anche in relazione alle varie zone del territorio comunale?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eastAsia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i/>
                <w:iCs/>
                <w:color w:val="C00000"/>
                <w:sz w:val="22"/>
                <w:szCs w:val="22"/>
                <w:lang w:eastAsia="en-US"/>
              </w:rPr>
              <w:t>No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Esiste un piano per l’ottimizzazione dei servizi antincendio e di sicurezza nelle aree e nei periodi di afflusso turistico?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eastAsia="Calibri"/>
                <w:b/>
                <w:b/>
                <w:i/>
                <w:i/>
                <w:color w:val="00B050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i/>
                <w:color w:val="00B050"/>
                <w:sz w:val="22"/>
                <w:szCs w:val="22"/>
                <w:lang w:eastAsia="en-US"/>
              </w:rPr>
              <w:t>Sì</w:t>
            </w:r>
          </w:p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eastAsia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i/>
                <w:sz w:val="22"/>
                <w:szCs w:val="22"/>
                <w:lang w:eastAsia="en-US"/>
              </w:rPr>
              <w:t>Oltre all’intensificazione dei servizi di vigilanza e di sicurezza nel periodo estivo, realizzato con una maggiore aumento delle forze dell’ordine, in tutti gli stabilimenti e nei tratti di spiaggia libera del litorale è assicurata la sorveglianza a mare attraverso una specifica convenzione, nonché la presenza di defribillatori.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Esiste un piano per l’ottimizzazione dei servizi medici e per la salute della popolazione turistica nelle aree e nei periodi di afflusso turistico?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eastAsia="Calibri"/>
                <w:b/>
                <w:b/>
                <w:i/>
                <w:i/>
                <w:color w:val="00B050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i/>
                <w:color w:val="00B050"/>
                <w:sz w:val="22"/>
                <w:szCs w:val="22"/>
                <w:lang w:eastAsia="en-US"/>
              </w:rPr>
              <w:t>Sì</w:t>
            </w:r>
          </w:p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eastAsia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i/>
                <w:sz w:val="22"/>
                <w:szCs w:val="22"/>
                <w:lang w:eastAsia="en-US"/>
              </w:rPr>
              <w:t>A Marina di Castagneto viene aumentato il personale medico e paramedico a disposizione dei turisti. E’ inoltre garantita la presenza del servizio di pronto intervento attraverso una specifica convenzione con Croce Rossa e Misericordia locale.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Esiste un sistema di uffici e servizi per l’informazione turistica e per l’ascolto della popolazione turistica e residente?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eastAsia="Calibri"/>
                <w:b/>
                <w:b/>
                <w:i/>
                <w:i/>
                <w:color w:val="00B050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i/>
                <w:color w:val="00B050"/>
                <w:sz w:val="22"/>
                <w:szCs w:val="22"/>
                <w:lang w:eastAsia="en-US"/>
              </w:rPr>
              <w:t>Sì</w:t>
            </w:r>
          </w:p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eastAsia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i/>
                <w:sz w:val="22"/>
                <w:szCs w:val="22"/>
                <w:lang w:eastAsia="en-US"/>
              </w:rPr>
              <w:t>E’ attivo l’ufficio informazioni turistiche presso Marina di Castagneto. Inoltre, svolgono funzioni analoghe il Parco Letterario di Castagneto presso il capoluogo e Il Consorzio Strade dell'Olio e del Vino presso San Guido (Bolgheri).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 xml:space="preserve">Esiste un programma coordinato di eventi culturali e di spettacolo organizzato tenendo conto delle stime relative agli arrivi e alle presenze turistiche? 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eastAsia="Calibri"/>
                <w:b/>
                <w:b/>
                <w:i/>
                <w:i/>
                <w:color w:val="00B050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i/>
                <w:color w:val="00B050"/>
                <w:sz w:val="22"/>
                <w:szCs w:val="22"/>
                <w:lang w:eastAsia="en-US"/>
              </w:rPr>
              <w:t>Sì</w:t>
            </w:r>
          </w:p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eastAsia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i/>
                <w:sz w:val="22"/>
                <w:szCs w:val="22"/>
                <w:lang w:eastAsia="en-US"/>
              </w:rPr>
              <w:t>Il programma è tuttavia migliorabile e da estendere a tutta l’area costiera.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Esiste un sistema di verifica dell’impatto (positivo/negativo) delle attività turistiche e dei relativi servizi pubblici collegati rispetto al Bilancio del Comune e/o delle partecipate?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eastAsia="Calibri"/>
                <w:b/>
                <w:b/>
                <w:i/>
                <w:i/>
                <w:color w:val="C00000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i/>
                <w:color w:val="C00000"/>
                <w:sz w:val="22"/>
                <w:szCs w:val="22"/>
                <w:lang w:eastAsia="en-US"/>
              </w:rPr>
              <w:t>No</w:t>
            </w:r>
          </w:p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eastAsia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i/>
                <w:sz w:val="22"/>
                <w:szCs w:val="22"/>
                <w:lang w:eastAsia="en-US"/>
              </w:rPr>
              <w:t>Non esiste un efficace controllo di gestione.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Esistono stime, studi in grado di dare la dimensione della percentuale di famiglie residenti nel comune che hanno componenti che lavorano/operano direttamente nel settore del turismo?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eastAsia="Calibri"/>
                <w:b/>
                <w:b/>
                <w:i/>
                <w:i/>
                <w:color w:val="C00000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i/>
                <w:color w:val="C00000"/>
                <w:sz w:val="22"/>
                <w:szCs w:val="22"/>
                <w:lang w:eastAsia="en-US"/>
              </w:rPr>
              <w:t>No</w:t>
            </w:r>
          </w:p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eastAsia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i/>
                <w:sz w:val="22"/>
                <w:szCs w:val="22"/>
                <w:lang w:eastAsia="en-US"/>
              </w:rPr>
              <w:t>Al momento è un dato indisponibile.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Esistono strutture ricettive, mezzi pubblici e attrazioni turistiche in grado di accogliere soggetti diversamente abili?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eastAsia="Calibri"/>
                <w:b/>
                <w:b/>
                <w:i/>
                <w:i/>
                <w:color w:val="00B050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i/>
                <w:color w:val="00B050"/>
                <w:sz w:val="22"/>
                <w:szCs w:val="22"/>
                <w:lang w:eastAsia="en-US"/>
              </w:rPr>
              <w:t>Sì</w:t>
            </w:r>
          </w:p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eastAsia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i/>
                <w:sz w:val="22"/>
                <w:szCs w:val="22"/>
                <w:lang w:eastAsia="en-US"/>
              </w:rPr>
              <w:t>Esistono strutture ricettive, agriturismi e stabilimenti balneari in genere.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Esistono delle politiche a livello di destinazione per minimizzare i livelli dell’inquinamento luminoso e acustico?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eastAsia="Calibri"/>
                <w:b/>
                <w:b/>
                <w:i/>
                <w:i/>
                <w:color w:val="00B050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i/>
                <w:color w:val="00B050"/>
                <w:sz w:val="22"/>
                <w:szCs w:val="22"/>
                <w:lang w:eastAsia="en-US"/>
              </w:rPr>
              <w:t>Sì</w:t>
            </w:r>
          </w:p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eastAsia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i/>
                <w:sz w:val="22"/>
                <w:szCs w:val="22"/>
                <w:lang w:eastAsia="en-US"/>
              </w:rPr>
              <w:t>Risultano presenti all’interno dell’attuale regolamento urbanistico.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Esistono progetti atti a favorire l’uso dei servizi turistici da parte di tutti?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eastAsia="Calibri"/>
                <w:b/>
                <w:b/>
                <w:i/>
                <w:i/>
                <w:color w:val="C00000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i/>
                <w:color w:val="C00000"/>
                <w:sz w:val="22"/>
                <w:szCs w:val="22"/>
                <w:lang w:eastAsia="en-US"/>
              </w:rPr>
              <w:t>No</w:t>
            </w:r>
          </w:p>
        </w:tc>
      </w:tr>
      <w:tr>
        <w:trPr/>
        <w:tc>
          <w:tcPr>
            <w:tcW w:w="2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Qualità del lavoro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Qual è il peso economico del settore del turismo rispetto ad altri settori economici in termini di occupazione / Esiste una significativa occupazione diretta nel settore del turismo in percentuale rispetto all’occupazione totale?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eastAsia="Calibri"/>
                <w:b/>
                <w:b/>
                <w:i/>
                <w:i/>
                <w:color w:val="00B050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i/>
                <w:color w:val="00B050"/>
                <w:sz w:val="22"/>
                <w:szCs w:val="22"/>
                <w:lang w:eastAsia="en-US"/>
              </w:rPr>
              <w:t>Sì</w:t>
            </w:r>
          </w:p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eastAsia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i/>
                <w:sz w:val="22"/>
                <w:szCs w:val="22"/>
                <w:shd w:fill="FFFF00" w:val="clear"/>
                <w:lang w:eastAsia="en-US"/>
              </w:rPr>
              <w:t>E’ stimato intorno al XXXX %</w:t>
            </w:r>
          </w:p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eastAsia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i/>
                <w:sz w:val="22"/>
                <w:szCs w:val="22"/>
                <w:shd w:fill="FFFF00" w:val="clear"/>
                <w:lang w:eastAsia="en-US"/>
              </w:rPr>
              <w:t>Disponibili rapporti camera di commercio</w:t>
            </w:r>
            <w:r>
              <w:rPr>
                <w:rFonts w:eastAsia="Calibri" w:ascii="Calibri" w:hAnsi="Calibri"/>
                <w:i/>
                <w:sz w:val="22"/>
                <w:szCs w:val="22"/>
                <w:lang w:eastAsia="en-US"/>
              </w:rPr>
              <w:t>?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Esistono programmi formativi per dipendenti/addetti del Comune o di società private che gestiscono servizi pubblici di interesse comunale finalizzati a migliorare la qualità del lavoro e dell’offerta di servizi rispetto al settore turismo?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eastAsia="Calibri"/>
                <w:b/>
                <w:b/>
                <w:i/>
                <w:i/>
                <w:color w:val="C00000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i/>
                <w:color w:val="C00000"/>
                <w:sz w:val="22"/>
                <w:szCs w:val="22"/>
                <w:lang w:eastAsia="en-US"/>
              </w:rPr>
              <w:t>No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Esiste una procedura per la verifica della qualità dei contratti di lavoro e dei livelli retributivi del personale che gestisce servizi pubblici comunali collegati al turismo?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eastAsia="Calibri"/>
                <w:b/>
                <w:b/>
                <w:i/>
                <w:i/>
                <w:color w:val="C00000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i/>
                <w:color w:val="C00000"/>
                <w:sz w:val="22"/>
                <w:szCs w:val="22"/>
                <w:lang w:eastAsia="en-US"/>
              </w:rPr>
              <w:t>No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Esistono delle politiche per favorire le pari opportunità nel settore del turismo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No</w:t>
            </w:r>
          </w:p>
        </w:tc>
      </w:tr>
      <w:tr>
        <w:trPr/>
        <w:tc>
          <w:tcPr>
            <w:tcW w:w="2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Allargamento del rapporto domanda/offerta rispetto all’obiettivo della destagionalizzazione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 xml:space="preserve">Esistono criticità rispetto alla distribuzione delle presenze e degli arrivi turistici nelle varie zone di attrazione turistica e nei dodici mesi dell’anno? 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iCs/>
                <w:color w:val="C00000"/>
              </w:rPr>
            </w:pPr>
            <w:r>
              <w:rPr>
                <w:b/>
                <w:i/>
                <w:iCs/>
                <w:color w:val="C00000"/>
              </w:rPr>
              <w:t>Sì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  <w:iCs/>
              </w:rPr>
              <w:t>Poiché Castagneto Carducci si caratterizza principalmente per il turismo balneare, la località è soggetta ad una concentrazione di presenze durante il periodo estivo.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 xml:space="preserve">Esistono potenzialità di sviluppo dell’offerta congressuale? 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B050"/>
              </w:rPr>
            </w:pPr>
            <w:r>
              <w:rPr>
                <w:b/>
                <w:i/>
                <w:iCs/>
                <w:color w:val="00B050"/>
              </w:rPr>
              <w:t>Sì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  <w:iCs/>
              </w:rPr>
              <w:t>Manca tuttavia un soggetto aggregativo preposto alla vendita del prodotto congressuale.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Esistono le condizioni per una programmazione integrata di eventi, mostre e spettacoli durante i dodici mesi dell’anno?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B050"/>
              </w:rPr>
            </w:pPr>
            <w:r>
              <w:rPr>
                <w:b/>
                <w:i/>
                <w:iCs/>
                <w:color w:val="00B050"/>
              </w:rPr>
              <w:t>Sì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  <w:iCs/>
              </w:rPr>
              <w:t>Esistono le condizioni ma andrebbe attivato anche comprendendo gli eventi di tutta la zona costiera.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Esistono le condizioni per un coordinamento degli orari di apertura al pubblico di musei, mostre, parchi tematici nei dodici mesi dell’anno?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iCs/>
                <w:color w:val="00B050"/>
              </w:rPr>
            </w:pPr>
            <w:r>
              <w:rPr>
                <w:b/>
                <w:i/>
                <w:iCs/>
                <w:color w:val="00B050"/>
              </w:rPr>
              <w:t>Sì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  <w:iCs/>
              </w:rPr>
              <w:t>Alcuni sono già coordinati ma devono essere ampliati.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Esistono le condizioni per un coordinamento degli orari di apertura di strutture ricettive impianti termali e negozi nei dodici mesi dell’anno?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iCs/>
                <w:color w:val="00B050"/>
              </w:rPr>
            </w:pPr>
            <w:r>
              <w:rPr>
                <w:b/>
                <w:i/>
                <w:iCs/>
                <w:color w:val="FF0000"/>
              </w:rPr>
              <w:t>No</w:t>
            </w:r>
          </w:p>
        </w:tc>
      </w:tr>
      <w:tr>
        <w:trPr/>
        <w:tc>
          <w:tcPr>
            <w:tcW w:w="2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Tutela attiva del Patrimonio Culturale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Esistono delle politiche o piani per la protezione del patrimonio culturale a livello di destinazione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iCs/>
                <w:color w:val="FF0000"/>
              </w:rPr>
            </w:pPr>
            <w:r>
              <w:rPr>
                <w:b/>
                <w:i/>
                <w:iCs/>
                <w:color w:val="FF0000"/>
              </w:rPr>
              <w:t>No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Quante presenze e quanti arrivi si stima siano indotti dalla presenza nella destinazione di monumenti, aree archeologiche, musei, chiese, centri di documentazione e parchi tematici ispirati alla storia del territorio?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  <w:iCs/>
              </w:rPr>
              <w:t>La presenza di monumenti, aree archeologiche, musei, chiese, centri di documentazione e parchi tematici non rappresenta la motivazione principale della permanenza sul territorio; tuttavia, una volta che i turisti dono in loco a fini balneari, tali elementi rappresentato risultano piuttosto visitate.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 xml:space="preserve">Esistono emergenze storiche, architettoniche e artistiche o itinerari culturali che abbiano una potenzialità attrattiva non ancora espressa rispetto ai vari target turistici di riferimento (turismo culturale classico per gruppi o individuale, turismo scolastico/di studio, turismo escursionistico)? 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iCs/>
                <w:color w:val="FF0000"/>
              </w:rPr>
            </w:pPr>
            <w:r>
              <w:rPr>
                <w:b/>
                <w:i/>
                <w:iCs/>
                <w:color w:val="FF0000"/>
              </w:rPr>
              <w:t>Sì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iCs/>
              </w:rPr>
            </w:pPr>
            <w:r>
              <w:rPr>
                <w:i/>
                <w:iCs/>
              </w:rPr>
              <w:t>La riqualificazione del Centro storico, Il viale di Cipressi di Bolgheri, il Forte di Marina, i percorsi delle Fonti e Valle degli Schiumai etc.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 xml:space="preserve">Esistono figure professionali (guide turistiche, anche specializzate) o associazioni culturali attive e interessate a promuovere la conoscenza del patrimonio storico e culturale della destinazione? 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i/>
                <w:i/>
                <w:iCs/>
              </w:rPr>
            </w:pPr>
            <w:r>
              <w:rPr>
                <w:b/>
                <w:i/>
                <w:iCs/>
                <w:color w:val="00B050"/>
              </w:rPr>
              <w:t>Sì</w:t>
            </w:r>
            <w:r>
              <w:rPr>
                <w:i/>
                <w:iCs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  <w:iCs/>
              </w:rPr>
              <w:t>Ma è auspicabile un maggior coordinamento tra gli operatori.</w:t>
            </w:r>
          </w:p>
        </w:tc>
      </w:tr>
      <w:tr>
        <w:trPr/>
        <w:tc>
          <w:tcPr>
            <w:tcW w:w="2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Tutela attiva del Patrimonio Ambientale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Quante presenze e quanti arrivi si stima siano indotti dalla presenza nella destinazione di emergenze ambientali e naturalistiche (parchi naturali, aree protette, itinerari escursionistici a piedi, in bici, a cavallo)?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eastAsia="Lucida Sans Unicode" w:ascii="Calibri" w:hAnsi="Calibri" w:asciiTheme="minorHAnsi" w:hAnsiTheme="minorHAnsi"/>
                <w:i/>
                <w:iCs/>
                <w:sz w:val="22"/>
                <w:szCs w:val="22"/>
              </w:rPr>
              <w:t>Attualmente le valenze naturalistiche ed ambientali non rappresentano la motivazione principale della permanenza sul territorio anche se negli ultimi anni stanno diventando un aspetto di maggiore attrazione.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Esistono degli incentivi a favore delle imprese per la certificazione / etichettatura volontaria per misure ambientali / qualitative / sostenibili e/o responsabilità sociale d’impresa e la comunicazione dell’impegno di sostenibilità di prodotto, marketing o marchio nei confronti dei visitatori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eastAsia="Lucida Sans Unicode" w:ascii="Calibri" w:hAnsi="Calibri" w:asciiTheme="minorHAnsi" w:hAnsiTheme="minorHAnsi"/>
                <w:b/>
                <w:bCs/>
                <w:i/>
                <w:iCs/>
                <w:color w:val="C00000"/>
                <w:sz w:val="22"/>
                <w:szCs w:val="22"/>
              </w:rPr>
              <w:t>No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Esistono delle strategie o piani di adattamento al cambiamento climatico a livello di destinazione?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eastAsia="Lucida Sans Unicode" w:ascii="Calibri" w:hAnsi="Calibri" w:asciiTheme="minorHAnsi" w:hAnsiTheme="minorHAnsi"/>
                <w:b/>
                <w:bCs/>
                <w:i/>
                <w:iCs/>
                <w:color w:val="C00000"/>
                <w:sz w:val="22"/>
                <w:szCs w:val="22"/>
              </w:rPr>
              <w:t>No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Esistono delle politiche che sostengono attivamente la protezione, conservazione e la gestione della biodiversità e del paesaggio locale a livello di destinazione?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B050"/>
              </w:rPr>
              <w:t>Sì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i/>
                <w:iCs/>
              </w:rPr>
              <w:t>Programmi Bandiera Blu e Spiga verde.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 xml:space="preserve">Esistono emergenze ambientali e naturalistiche (parchi e aree protette) che abbiano una potenzialità attrattiva non ancora espressa rispetto ai vari target turistici di riferimento (turismo culturale/naturalistico classico per gruppi o individuale, turismo scolastico/di studio, turismo escursionistico)? 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eastAsia="Lucida Sans Unicode" w:ascii="Calibri" w:hAnsi="Calibri" w:asciiTheme="minorHAnsi" w:hAnsiTheme="minorHAnsi"/>
                <w:b/>
                <w:bCs/>
                <w:i/>
                <w:iCs/>
                <w:color w:val="C00000"/>
                <w:sz w:val="22"/>
                <w:szCs w:val="22"/>
              </w:rPr>
              <w:t>Sì</w:t>
            </w:r>
          </w:p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i/>
                <w:sz w:val="22"/>
                <w:szCs w:val="22"/>
              </w:rPr>
              <w:t>Il rifugio faunistico di Bolgheri.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Esiste un sistema di misurazione del livello di qualità delle acque?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Lucida Sans Unicode" w:ascii="Calibri" w:hAnsi="Calibri" w:asciiTheme="minorHAnsi" w:hAnsiTheme="minorHAnsi"/>
                <w:b/>
                <w:i/>
                <w:iCs/>
                <w:color w:val="FF3300"/>
                <w:sz w:val="22"/>
                <w:szCs w:val="22"/>
              </w:rPr>
              <w:t>Sì</w:t>
            </w:r>
          </w:p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i/>
                <w:sz w:val="22"/>
                <w:szCs w:val="22"/>
              </w:rPr>
              <w:t>Tramite l’attività di ARPAT.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 xml:space="preserve">Esistono figure professionali (guide alpine, ambientali escursionistiche, speleologiche) o associazioni ambientaliste attive e interessate a promuovere la conoscenza del patrimonio ambientale naturalistico della destinazione? 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eastAsia="Lucida Sans Unicode" w:asciiTheme="minorHAnsi" w:hAnsiTheme="minorHAnsi"/>
                <w:b/>
                <w:b/>
                <w:i/>
                <w:i/>
                <w:iCs/>
                <w:color w:val="FF3300"/>
                <w:sz w:val="22"/>
                <w:szCs w:val="22"/>
              </w:rPr>
            </w:pPr>
            <w:r>
              <w:rPr>
                <w:rFonts w:eastAsia="Lucida Sans Unicode" w:ascii="Calibri" w:hAnsi="Calibri" w:asciiTheme="minorHAnsi" w:hAnsiTheme="minorHAnsi"/>
                <w:b/>
                <w:i/>
                <w:iCs/>
                <w:color w:val="FF3300"/>
                <w:sz w:val="22"/>
                <w:szCs w:val="22"/>
              </w:rPr>
              <w:t>Sì</w:t>
            </w:r>
          </w:p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eastAsia="Lucida Sans Unicode" w:ascii="Calibri" w:hAnsi="Calibri" w:asciiTheme="minorHAnsi" w:hAnsiTheme="minorHAnsi"/>
                <w:i/>
                <w:iCs/>
                <w:sz w:val="22"/>
                <w:szCs w:val="22"/>
              </w:rPr>
              <w:t>Associazione culturale Parchi Geostorici.</w:t>
            </w:r>
          </w:p>
        </w:tc>
      </w:tr>
      <w:tr>
        <w:trPr/>
        <w:tc>
          <w:tcPr>
            <w:tcW w:w="2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Tutela attiva delle Identità delle destinazioni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Quante presenze e quanti arrivi si stima siano indotti dalla presenza nella destinazione di emergenze collegate alle produzioni agroalimentari, enogastronomiche, artigianali (aziende agricole, aziende di produzioni locali tipiche, esercizi commerciali, ristoranti, eventi e manifestazioni tematiche)?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eastAsia="Lucida Sans Unicode" w:ascii="Calibri" w:hAnsi="Calibri" w:asciiTheme="minorHAnsi" w:hAnsiTheme="minorHAnsi"/>
                <w:b/>
                <w:bCs/>
                <w:i/>
                <w:iCs/>
                <w:color w:val="C00000"/>
                <w:sz w:val="22"/>
                <w:szCs w:val="22"/>
                <w:shd w:fill="FFFF00" w:val="clear"/>
              </w:rPr>
              <w:t>Da verificare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Esiste un sistema di rilevazione della soddisfazione dei turisti?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Lucida Sans Unicode" w:ascii="Calibri" w:hAnsi="Calibri" w:asciiTheme="minorHAnsi" w:hAnsiTheme="minorHAnsi"/>
                <w:b/>
                <w:i/>
                <w:iCs/>
                <w:color w:val="FF3300"/>
                <w:sz w:val="22"/>
                <w:szCs w:val="22"/>
              </w:rPr>
              <w:t>No</w:t>
            </w:r>
          </w:p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eastAsia="Lucida Sans Unicode" w:ascii="Calibri" w:hAnsi="Calibri" w:asciiTheme="minorHAnsi" w:hAnsiTheme="minorHAnsi"/>
                <w:i/>
                <w:iCs/>
                <w:sz w:val="22"/>
                <w:szCs w:val="22"/>
              </w:rPr>
              <w:t>Esistente per le attività di tipo culturale, ma bisognerebbe implementarlo anche a livello generale. Esiste, altresì per le attività ricettive a livello individuale: è auspicabile una sua estensione coordinata alla destinazione nel suo complesso.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Nella destinazione esistono delle politiche per fidelizzare i turisti?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Lucida Sans Unicode" w:ascii="Calibri" w:hAnsi="Calibri" w:asciiTheme="minorHAnsi" w:hAnsiTheme="minorHAnsi"/>
                <w:b/>
                <w:i/>
                <w:iCs/>
                <w:color w:val="FF3300"/>
                <w:sz w:val="22"/>
                <w:szCs w:val="22"/>
              </w:rPr>
              <w:t>No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 xml:space="preserve">Esistono elementi collegati dalle caratteristiche identitarie che abbiano una potenzialità attrattiva non ancora espressa rispetto ai vari target turistici di riferimento (turismo enogastronomico, turismo culturale/naturalistico classico per gruppi o individuale, turismo scolastico/di studio, turismo escursionistico)? 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color w:val="00B050"/>
                <w:sz w:val="22"/>
                <w:szCs w:val="22"/>
              </w:rPr>
            </w:pPr>
            <w:r>
              <w:rPr>
                <w:rFonts w:eastAsia="Lucida Sans Unicode" w:ascii="Calibri" w:hAnsi="Calibri" w:asciiTheme="minorHAnsi" w:hAnsiTheme="minorHAnsi"/>
                <w:b/>
                <w:bCs/>
                <w:i/>
                <w:iCs/>
                <w:color w:val="00B050"/>
                <w:sz w:val="22"/>
                <w:szCs w:val="22"/>
              </w:rPr>
              <w:t>Sì</w:t>
            </w:r>
          </w:p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eastAsia="Lucida Sans Unicode" w:ascii="Calibri" w:hAnsi="Calibri" w:asciiTheme="minorHAnsi" w:hAnsiTheme="minorHAnsi"/>
                <w:i/>
                <w:iCs/>
                <w:color w:val="000000"/>
                <w:sz w:val="22"/>
                <w:szCs w:val="22"/>
              </w:rPr>
              <w:t>In particolare, il Parco Letterario e La Strada del Vino e dell’Olio hanno potenzialità non ancora espresse completamente, migliorabili con un più elevato livello di comunicazione.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Esistono una programmazione degli eventi della destinazione focalizzate nella cultura e nelle risorse tradizionali / locali?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eastAsia="Lucida Sans Unicode" w:asciiTheme="minorHAnsi" w:hAnsiTheme="minorHAnsi"/>
                <w:b/>
                <w:b/>
                <w:bCs/>
                <w:i/>
                <w:i/>
                <w:iCs/>
                <w:color w:val="00B050"/>
                <w:sz w:val="22"/>
                <w:szCs w:val="22"/>
              </w:rPr>
            </w:pPr>
            <w:r>
              <w:rPr>
                <w:rFonts w:eastAsia="Lucida Sans Unicode" w:ascii="Calibri" w:hAnsi="Calibri" w:asciiTheme="minorHAnsi" w:hAnsiTheme="minorHAnsi"/>
                <w:b/>
                <w:bCs/>
                <w:i/>
                <w:iCs/>
                <w:color w:val="00B050"/>
                <w:sz w:val="22"/>
                <w:szCs w:val="22"/>
              </w:rPr>
              <w:t>Sì</w:t>
            </w:r>
          </w:p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eastAsia="Lucida Sans Unicode" w:ascii="Calibri" w:hAnsi="Calibri"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Ad esempio, l’iniziativa “Libri alla gogna” e il Festival Caleidoscopio”. 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Esistono delle politiche a livello di destinazione per incentivare l’acquisto di beni e servizi locali, sostenibili, equosolidali?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eastAsia="Lucida Sans Unicode" w:ascii="Calibri" w:hAnsi="Calibri" w:asciiTheme="minorHAnsi" w:hAnsiTheme="minorHAnsi"/>
                <w:b/>
                <w:bCs/>
                <w:i/>
                <w:iCs/>
                <w:color w:val="00B050"/>
                <w:sz w:val="22"/>
                <w:szCs w:val="22"/>
              </w:rPr>
              <w:t>Sì</w:t>
            </w: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i/>
                <w:sz w:val="22"/>
                <w:szCs w:val="22"/>
              </w:rPr>
              <w:t xml:space="preserve">Viene promossa la vendita diretta di prodotti agricoli (frutta e verdura attraverso i banchi posti presso le strade e del vino e dell’olio presso le aziende agricole locali). 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 xml:space="preserve">Esistono figure professionali (guide turistiche, ambientali escursionistiche) o associazioni per la tutela e la promozione delle tradizioni locali attive e interessate a promuovere la conoscenza del patrimonio identitario della destinazione? 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eastAsia="Lucida Sans Unicode" w:ascii="Calibri" w:hAnsi="Calibri" w:asciiTheme="minorHAnsi" w:hAnsiTheme="minorHAnsi"/>
                <w:b/>
                <w:bCs/>
                <w:i/>
                <w:iCs/>
                <w:color w:val="C00000"/>
                <w:sz w:val="22"/>
                <w:szCs w:val="22"/>
              </w:rPr>
              <w:t>No</w:t>
            </w:r>
          </w:p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Arial" w:ascii="Calibri" w:hAnsi="Calibri"/>
                <w:i/>
                <w:sz w:val="22"/>
                <w:szCs w:val="22"/>
              </w:rPr>
            </w:r>
          </w:p>
        </w:tc>
      </w:tr>
      <w:tr>
        <w:trPr/>
        <w:tc>
          <w:tcPr>
            <w:tcW w:w="2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Diminuzione e ottimizzazione utilizzo delle risorse naturali con particolare riferimento all’acqua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 xml:space="preserve">Esistono criticità rispetto alla erogazione di acqua potabile per uso civile nelle varie zone turistico - ricettive della destinazione nei dodici mesi dell’anno? 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eastAsia="Lucida Sans Unicode" w:asciiTheme="minorHAnsi" w:hAnsiTheme="minorHAnsi"/>
                <w:b/>
                <w:b/>
                <w:i/>
                <w:i/>
                <w:iCs/>
                <w:color w:val="C00000"/>
                <w:sz w:val="22"/>
                <w:szCs w:val="22"/>
              </w:rPr>
            </w:pPr>
            <w:r>
              <w:rPr>
                <w:rFonts w:eastAsia="Lucida Sans Unicode" w:ascii="Calibri" w:hAnsi="Calibri" w:asciiTheme="minorHAnsi" w:hAnsiTheme="minorHAnsi"/>
                <w:b/>
                <w:i/>
                <w:iCs/>
                <w:color w:val="C00000"/>
                <w:sz w:val="22"/>
                <w:szCs w:val="22"/>
              </w:rPr>
              <w:t>Si</w:t>
            </w:r>
          </w:p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eastAsia="Lucida Sans Unicode" w:ascii="Calibri" w:hAnsi="Calibri" w:asciiTheme="minorHAnsi" w:hAnsiTheme="minorHAnsi"/>
                <w:i/>
                <w:iCs/>
                <w:sz w:val="22"/>
                <w:szCs w:val="22"/>
              </w:rPr>
              <w:t>Si sono talvolta verificate situazioni di minore disponibilità idrica durante la stagione estiva.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Esistono delle misure / incentivi a livello di destinazione che favoriscono l’uso di acqua derivata da acqua riciclata?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eastAsia="Lucida Sans Unicode" w:ascii="Calibri" w:hAnsi="Calibri" w:asciiTheme="minorHAnsi" w:hAnsiTheme="minorHAnsi"/>
                <w:b/>
                <w:bCs/>
                <w:i/>
                <w:iCs/>
                <w:color w:val="C00000"/>
                <w:sz w:val="22"/>
                <w:szCs w:val="22"/>
              </w:rPr>
              <w:t>No</w:t>
            </w:r>
          </w:p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eastAsia="Lucida Sans Unicode" w:ascii="Calibri" w:hAnsi="Calibri" w:asciiTheme="minorHAnsi" w:hAnsiTheme="minorHAnsi"/>
                <w:i/>
                <w:iCs/>
                <w:color w:val="000000"/>
                <w:sz w:val="22"/>
                <w:szCs w:val="22"/>
              </w:rPr>
              <w:t>Esistono sporadici casi, singole iniziative di privati, soprattutto stabilimenti balneari.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 xml:space="preserve">Esistono criticità rispetto alla erogazione di acqua non potabile nelle varie zone turistico - ricettive della destinazione nei dodici mesi dell’anno? 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Lucida Sans Unicode" w:ascii="Calibri" w:hAnsi="Calibri" w:asciiTheme="minorHAnsi" w:hAnsiTheme="minorHAnsi"/>
                <w:b/>
                <w:i/>
                <w:iCs/>
                <w:color w:val="00B050"/>
                <w:sz w:val="22"/>
                <w:szCs w:val="22"/>
              </w:rPr>
              <w:t>No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 xml:space="preserve">Esistono criticità rispetto alla erogazione di acqua termale negli stabilimenti della destinazione nei dodici mesi dell’anno? 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i/>
                <w:sz w:val="22"/>
                <w:szCs w:val="22"/>
              </w:rPr>
              <w:t>N/A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 xml:space="preserve">Esistono stime rispetto al fabbisogno di acqua potabile per uso civile e pubblico nelle varie zone turistico - ricettive della destinazione nei dodici mesi dell’anno riferiti ai programmi di sviluppo turistico per il futuro? 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eastAsia="Lucida Sans Unicode" w:ascii="Calibri" w:hAnsi="Calibri" w:asciiTheme="minorHAnsi" w:hAnsiTheme="minorHAnsi"/>
                <w:b/>
                <w:bCs/>
                <w:i/>
                <w:iCs/>
                <w:color w:val="C00000"/>
                <w:sz w:val="22"/>
                <w:szCs w:val="22"/>
                <w:shd w:fill="FFFF00" w:val="clear"/>
              </w:rPr>
              <w:t>Da verificare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Esistono stime rispetto al fabbisogno di acqua termale negli stabilimenti della destinazione nei dodici mesi dell’anno riferiti ai programmi di sviluppo turistico -termale per il futuro?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i/>
                <w:sz w:val="22"/>
                <w:szCs w:val="22"/>
              </w:rPr>
              <w:t>N/A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Esistono imprese turistiche che attuano il ri-uso dell’acqua riciclata?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Lucida Sans Unicode" w:cs="Lucida Sans Unicode" w:ascii="Calibri" w:hAnsi="Calibri" w:asciiTheme="minorHAnsi" w:hAnsiTheme="minorHAnsi"/>
                <w:b/>
                <w:i/>
                <w:iCs/>
                <w:color w:val="C00000"/>
                <w:sz w:val="22"/>
                <w:szCs w:val="22"/>
              </w:rPr>
              <w:t>Sì</w:t>
            </w:r>
          </w:p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eastAsia="Lucida Sans Unicode" w:cs="Lucida Sans Unicode" w:ascii="Calibri" w:hAnsi="Calibri" w:asciiTheme="minorHAnsi" w:hAnsiTheme="minorHAnsi"/>
                <w:i/>
                <w:iCs/>
                <w:color w:val="000000"/>
                <w:sz w:val="22"/>
                <w:szCs w:val="22"/>
              </w:rPr>
              <w:t>Alcuni stabilimenti balneari.</w:t>
            </w:r>
          </w:p>
        </w:tc>
      </w:tr>
      <w:tr>
        <w:trPr/>
        <w:tc>
          <w:tcPr>
            <w:tcW w:w="2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Diminuzione e ottimizzazione consumi di Energia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 xml:space="preserve">Esistono criticità rispetto alla erogazione/utilizzo di energia elettrica per uso civile nelle varie zone turistico - ricettive della destinazione nei dodici mesi dell’anno? 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Lucida Sans Unicode" w:ascii="Calibri" w:hAnsi="Calibri" w:asciiTheme="minorHAnsi" w:hAnsiTheme="minorHAnsi"/>
                <w:b/>
                <w:i/>
                <w:iCs/>
                <w:color w:val="00B050"/>
                <w:sz w:val="22"/>
                <w:szCs w:val="22"/>
              </w:rPr>
              <w:t>No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 xml:space="preserve">Esistono criticità rispetto alla erogazione/utilizzo di energia elettrica per uso pubblico nelle varie zone turistico - ricettive della destinazione nei dodici mesi dell’anno? 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eastAsia="Lucida Sans Unicode" w:ascii="Calibri" w:hAnsi="Calibri" w:asciiTheme="minorHAnsi" w:hAnsiTheme="minorHAnsi"/>
                <w:b/>
                <w:i/>
                <w:iCs/>
                <w:color w:val="00B050"/>
                <w:sz w:val="22"/>
                <w:szCs w:val="22"/>
              </w:rPr>
              <w:t>No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 xml:space="preserve">Esistono stime rispetto al fabbisogno di energia elettrica per uso civile e pubblico nelle varie zone turistico - ricettive della destinazione nei dodici mesi dell’anno riferiti ai programmi di sviluppo turistico per il futuro? 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Lucida Sans Unicode" w:ascii="Calibri" w:hAnsi="Calibri" w:asciiTheme="minorHAnsi" w:hAnsiTheme="minorHAnsi"/>
                <w:b/>
                <w:bCs/>
                <w:i/>
                <w:iCs/>
                <w:color w:val="C00000"/>
                <w:sz w:val="22"/>
                <w:szCs w:val="22"/>
                <w:shd w:fill="FFFF00" w:val="clear"/>
              </w:rPr>
              <w:t>Da verificare</w:t>
            </w:r>
            <w:r>
              <w:rPr>
                <w:rFonts w:eastAsia="Lucida Sans Unicode" w:ascii="Calibri" w:hAnsi="Calibri" w:asciiTheme="minorHAnsi" w:hAnsiTheme="minorHAnsi"/>
                <w:b/>
                <w:bCs/>
                <w:i/>
                <w:iCs/>
                <w:color w:val="C00000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 xml:space="preserve">Esistono programmi integrati finalizzati a ridurre il fabbisogno di energia elettrica per uso civile e pubblico nelle varie zone turistico - ricettive della destinazione nei dodici mesi dell’anno riferiti ai programmi di sviluppo turistico per il futuro? 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Lucida Sans Unicode" w:ascii="Calibri" w:hAnsi="Calibri" w:asciiTheme="minorHAnsi" w:hAnsiTheme="minorHAnsi"/>
                <w:b/>
                <w:bCs/>
                <w:i/>
                <w:iCs/>
                <w:color w:val="C00000"/>
                <w:sz w:val="22"/>
                <w:szCs w:val="22"/>
                <w:shd w:fill="FFFF00" w:val="clear"/>
              </w:rPr>
              <w:t>Da verificare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 xml:space="preserve">Esistono programmi integrati finalizzati ad aumentare la percentuale di utilizzo di energie rinnovabili per uso civile e pubblico nelle varie zone turistico - ricettive della destinazione nei dodici mesi dell’anno riferiti ai programmi di sviluppo turistico per il futuro? 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eastAsia="Lucida Sans Unicode" w:ascii="Calibri" w:hAnsi="Calibri" w:asciiTheme="minorHAnsi" w:hAnsiTheme="minorHAnsi"/>
                <w:b/>
                <w:bCs/>
                <w:i/>
                <w:iCs/>
                <w:color w:val="C00000"/>
                <w:sz w:val="22"/>
                <w:szCs w:val="22"/>
                <w:shd w:fill="FFFF00" w:val="clear"/>
              </w:rPr>
              <w:t>Da verificare</w:t>
            </w:r>
          </w:p>
        </w:tc>
      </w:tr>
      <w:tr>
        <w:trPr/>
        <w:tc>
          <w:tcPr>
            <w:tcW w:w="2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Diminuzione e gestione dei Rifiuti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 xml:space="preserve">Esistono criticità rispetto alla raccolta e smaltimento di rifiuti solidi urbani nelle varie zone turistico - ricettive della destinazione nei dodici mesi dell’anno? 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  <w:shd w:fill="FFFF00" w:val="clear"/>
              </w:rPr>
            </w:pPr>
            <w:r>
              <w:rPr>
                <w:rFonts w:eastAsia="Lucida Sans Unicode" w:cs="Lucida Sans Unicode" w:ascii="Calibri" w:hAnsi="Calibri" w:asciiTheme="minorHAnsi" w:hAnsiTheme="minorHAnsi"/>
                <w:b/>
                <w:i/>
                <w:iCs/>
                <w:color w:val="C00000"/>
                <w:sz w:val="22"/>
                <w:szCs w:val="22"/>
                <w:shd w:fill="FFFF00" w:val="clear"/>
              </w:rPr>
              <w:t>Sì</w:t>
            </w:r>
          </w:p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eastAsia="Lucida Sans Unicode" w:cs="Lucida Sans Unicode" w:ascii="Calibri" w:hAnsi="Calibri" w:asciiTheme="minorHAnsi" w:hAnsiTheme="minorHAnsi"/>
                <w:i/>
                <w:iCs/>
                <w:color w:val="000000"/>
                <w:sz w:val="22"/>
                <w:szCs w:val="22"/>
                <w:shd w:fill="FFFF00" w:val="clear"/>
              </w:rPr>
              <w:t>Sono state fatte segnalazioni legate all’abbandono rifiuti.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 xml:space="preserve">Esistono criticità rispetto alla raccolta e smaltimento di rifiuti solidi urbani prodotti dagli utenti delle strutture turistico - ricettive nelle varie zone turistico - ricettive della destinazione nei dodici mesi dell’anno? 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Lucida Sans Unicode" w:ascii="Calibri" w:hAnsi="Calibri" w:asciiTheme="minorHAnsi" w:hAnsiTheme="minorHAnsi"/>
                <w:b/>
                <w:i/>
                <w:iCs/>
                <w:color w:val="FF3300"/>
                <w:sz w:val="22"/>
                <w:szCs w:val="22"/>
              </w:rPr>
              <w:t>No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 xml:space="preserve">Esistono stime rispetto al fabbisogno di raccolta e smaltimento di rifiuti solidi urbani prodotti dagli utenti delle strutture turistico - ricettive nelle varie zone turistico - ricettive della destinazione nei dodici mesi dell’anno riferiti ai programmi di sviluppo turistico per il futuro? 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eastAsia="Lucida Sans Unicode" w:ascii="Calibri" w:hAnsi="Calibri" w:asciiTheme="minorHAnsi" w:hAnsiTheme="minorHAnsi"/>
                <w:b/>
                <w:bCs/>
                <w:i/>
                <w:iCs/>
                <w:color w:val="C00000"/>
                <w:sz w:val="22"/>
                <w:szCs w:val="22"/>
                <w:shd w:fill="FFFF00" w:val="clear"/>
              </w:rPr>
              <w:t>Da verificare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 xml:space="preserve">Esistono programmi integrati finalizzati a ridurre la produzione di rifiuti solidi urbani nelle varie zone turistico - ricettive della destinazione nei dodici mesi dell’anno riferiti ai programmi di sviluppo turistico per il futuro? 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Lucida Sans Unicode" w:ascii="Calibri" w:hAnsi="Calibri" w:asciiTheme="minorHAnsi" w:hAnsiTheme="minorHAnsi"/>
                <w:b/>
                <w:bCs/>
                <w:i/>
                <w:iCs/>
                <w:color w:val="C00000"/>
                <w:sz w:val="22"/>
                <w:szCs w:val="22"/>
                <w:shd w:fill="FFFF00" w:val="clear"/>
              </w:rPr>
              <w:t>Da verificare</w:t>
            </w:r>
          </w:p>
        </w:tc>
      </w:tr>
      <w:tr>
        <w:trPr/>
        <w:tc>
          <w:tcPr>
            <w:tcW w:w="2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70" w:hanging="360"/>
              <w:rPr/>
            </w:pPr>
            <w:r>
              <w:rPr/>
              <w:t>Esistono programmi integrati finalizzati ad aumentare la percentuale di raccolta differenziata di rifiuti solidi urbani nelle varie zone turistico - ricettive della destinazione nei dodici mesi dell’anno riferiti ai programmi di sviluppo turistico per il futuro?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0" w:leader="none"/>
                <w:tab w:val="left" w:pos="705" w:leader="none"/>
                <w:tab w:val="left" w:pos="1413" w:leader="none"/>
                <w:tab w:val="left" w:pos="2120" w:leader="none"/>
                <w:tab w:val="left" w:pos="2828" w:leader="none"/>
                <w:tab w:val="left" w:pos="3535" w:leader="none"/>
                <w:tab w:val="left" w:pos="4243" w:leader="none"/>
                <w:tab w:val="left" w:pos="4950" w:leader="none"/>
                <w:tab w:val="left" w:pos="5658" w:leader="none"/>
                <w:tab w:val="left" w:pos="6365" w:leader="none"/>
                <w:tab w:val="left" w:pos="7073" w:leader="none"/>
                <w:tab w:val="left" w:pos="7780" w:leader="none"/>
                <w:tab w:val="left" w:pos="8488" w:leader="none"/>
                <w:tab w:val="left" w:pos="9195" w:leader="none"/>
                <w:tab w:val="left" w:pos="9903" w:leader="none"/>
                <w:tab w:val="left" w:pos="10610" w:leader="none"/>
                <w:tab w:val="left" w:pos="11318" w:leader="none"/>
                <w:tab w:val="left" w:pos="12025" w:leader="none"/>
                <w:tab w:val="left" w:pos="12733" w:leader="none"/>
                <w:tab w:val="left" w:pos="13440" w:leader="none"/>
                <w:tab w:val="left" w:pos="14148" w:leader="none"/>
              </w:tabs>
              <w:spacing w:lineRule="auto" w:line="228" w:beforeAutospacing="0" w:before="0" w:afterAutospacing="0" w:after="0"/>
              <w:textAlignment w:val="baseline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eastAsia="Lucida Sans Unicode" w:ascii="Calibri" w:hAnsi="Calibri" w:asciiTheme="minorHAnsi" w:hAnsiTheme="minorHAnsi"/>
                <w:b/>
                <w:bCs/>
                <w:i/>
                <w:iCs/>
                <w:color w:val="C00000"/>
                <w:sz w:val="22"/>
                <w:szCs w:val="22"/>
                <w:shd w:fill="FFFF00" w:val="clear"/>
              </w:rPr>
              <w:t>Da verificare</w:t>
            </w:r>
          </w:p>
        </w:tc>
      </w:tr>
    </w:tbl>
    <w:p>
      <w:pPr>
        <w:pStyle w:val="Normal"/>
        <w:pBdr/>
        <w:spacing w:before="0" w:after="200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spacing w:before="0" w:after="200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65pt;height:13.45pt;mso-wrap-distance-left:0pt;mso-wrap-distance-right:0pt;mso-wrap-distance-top:0pt;mso-wrap-distance-bottom:0pt;margin-top:0.05pt;mso-position-vertical-relative:text;margin-left:476.2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spacing w:before="0" w:after="200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51f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it-IT" w:bidi="ar-SA"/>
    </w:rPr>
  </w:style>
  <w:style w:type="paragraph" w:styleId="Titolo1">
    <w:name w:val="Titolo 1"/>
    <w:basedOn w:val="Normal"/>
    <w:link w:val="Titolo1Carattere"/>
    <w:uiPriority w:val="9"/>
    <w:qFormat/>
    <w:locked/>
    <w:rsid w:val="007b53dc"/>
    <w:pPr>
      <w:keepNext/>
      <w:keepLines/>
      <w:spacing w:before="240" w:after="0"/>
      <w:jc w:val="both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Titolo2">
    <w:name w:val="Titolo 2"/>
    <w:basedOn w:val="Normal"/>
    <w:link w:val="Titolo2Carattere"/>
    <w:uiPriority w:val="9"/>
    <w:unhideWhenUsed/>
    <w:qFormat/>
    <w:locked/>
    <w:rsid w:val="007b53dc"/>
    <w:pPr>
      <w:keepNext/>
      <w:keepLines/>
      <w:spacing w:before="40" w:after="0"/>
      <w:jc w:val="both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c87573"/>
    <w:rPr>
      <w:lang w:eastAsia="en-US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c87573"/>
    <w:rPr>
      <w:lang w:eastAsia="en-US"/>
    </w:rPr>
  </w:style>
  <w:style w:type="character" w:styleId="Pagenumber">
    <w:name w:val="page number"/>
    <w:basedOn w:val="DefaultParagraphFont"/>
    <w:uiPriority w:val="99"/>
    <w:qFormat/>
    <w:rsid w:val="00c25d1f"/>
    <w:rPr>
      <w:rFonts w:cs="Times New Roma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0f48e9"/>
    <w:rPr>
      <w:rFonts w:ascii="Segoe UI" w:hAnsi="Segoe UI" w:cs="Segoe UI"/>
      <w:sz w:val="18"/>
      <w:szCs w:val="18"/>
      <w:lang w:eastAsia="en-US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7b53dc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n-US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7b53dc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en-US"/>
    </w:rPr>
  </w:style>
  <w:style w:type="character" w:styleId="CollegamentoInternet">
    <w:name w:val="Collegamento Internet"/>
    <w:basedOn w:val="DefaultParagraphFont"/>
    <w:uiPriority w:val="99"/>
    <w:unhideWhenUsed/>
    <w:rsid w:val="007b53dc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Paragrafoelenco1" w:customStyle="1">
    <w:name w:val="Paragrafo elenco1"/>
    <w:basedOn w:val="Normal"/>
    <w:uiPriority w:val="99"/>
    <w:qFormat/>
    <w:rsid w:val="003451f6"/>
    <w:pPr>
      <w:spacing w:lineRule="auto" w:line="240" w:before="0" w:after="0"/>
      <w:ind w:left="720" w:hanging="0"/>
    </w:pPr>
    <w:rPr>
      <w:rFonts w:ascii="Arial" w:hAnsi="Arial" w:eastAsia="Times New Roman"/>
      <w:bCs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51f6"/>
    <w:pPr>
      <w:spacing w:before="0" w:after="200"/>
      <w:ind w:left="720" w:hanging="0"/>
      <w:contextualSpacing/>
    </w:pPr>
    <w:rPr/>
  </w:style>
  <w:style w:type="paragraph" w:styleId="Intestazione">
    <w:name w:val="Intestazione"/>
    <w:basedOn w:val="Normal"/>
    <w:link w:val="IntestazioneCarattere"/>
    <w:uiPriority w:val="99"/>
    <w:rsid w:val="00eb7920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uiPriority w:val="99"/>
    <w:rsid w:val="00eb7920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f48e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7b53dc"/>
    <w:pPr>
      <w:widowControl/>
      <w:suppressAutoHyphens w:val="true"/>
      <w:bidi w:val="0"/>
      <w:jc w:val="left"/>
    </w:pPr>
    <w:rPr>
      <w:rFonts w:ascii="Cambria" w:hAnsi="Cambria" w:eastAsia="Calibri" w:cs="Cambria" w:eastAsiaTheme="minorHAnsi"/>
      <w:color w:val="000000"/>
      <w:sz w:val="24"/>
      <w:szCs w:val="24"/>
      <w:lang w:eastAsia="en-US" w:val="it-IT" w:bidi="ar-SA"/>
    </w:rPr>
  </w:style>
  <w:style w:type="paragraph" w:styleId="Titoloindice">
    <w:name w:val="Titolo indice"/>
    <w:basedOn w:val="Titolo1"/>
    <w:uiPriority w:val="39"/>
    <w:unhideWhenUsed/>
    <w:qFormat/>
    <w:rsid w:val="007b53dc"/>
    <w:pPr>
      <w:spacing w:lineRule="auto" w:line="259"/>
      <w:jc w:val="left"/>
    </w:pPr>
    <w:rPr>
      <w:lang w:eastAsia="it-IT"/>
    </w:rPr>
  </w:style>
  <w:style w:type="paragraph" w:styleId="Indice1">
    <w:name w:val="Indice 1"/>
    <w:basedOn w:val="Normal"/>
    <w:autoRedefine/>
    <w:uiPriority w:val="39"/>
    <w:unhideWhenUsed/>
    <w:locked/>
    <w:rsid w:val="007b53dc"/>
    <w:pPr>
      <w:spacing w:before="0" w:after="100"/>
      <w:jc w:val="both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Indice2">
    <w:name w:val="Indice 2"/>
    <w:basedOn w:val="Normal"/>
    <w:autoRedefine/>
    <w:uiPriority w:val="39"/>
    <w:unhideWhenUsed/>
    <w:locked/>
    <w:rsid w:val="007b53dc"/>
    <w:pPr>
      <w:spacing w:before="0" w:after="100"/>
      <w:ind w:left="220" w:hanging="0"/>
      <w:jc w:val="both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rmalWeb">
    <w:name w:val="Normal (Web)"/>
    <w:basedOn w:val="Normal"/>
    <w:uiPriority w:val="99"/>
    <w:unhideWhenUsed/>
    <w:qFormat/>
    <w:rsid w:val="00d20dbc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LibreOffice/4.4.3.2$Windows_x86 LibreOffice_project/88805f81e9fe61362df02b9941de8e38a9b5fd16</Application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2016-08-30T16:57:00Z</dcterms:created>
  <dc:creator>utente</dc:creator>
  <dc:language>it-IT</dc:language>
  <cp:lastModifiedBy>simone</cp:lastModifiedBy>
  <cp:lastPrinted>2016-09-09T14:23:00Z</cp:lastPrinted>
  <dcterms:modified xsi:type="dcterms:W3CDTF">2016-10-21T21:00:00Z</dcterms:modified>
  <cp:revision>93</cp:revision>
  <dc:title>AREE TEMATICHE NECSTOUR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